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1" w:firstLineChars="300"/>
        <w:jc w:val="left"/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河南省人民医院医（技）师进修申请表</w:t>
      </w:r>
    </w:p>
    <w:tbl>
      <w:tblPr>
        <w:tblStyle w:val="4"/>
        <w:tblpPr w:leftFromText="180" w:rightFromText="180" w:vertAnchor="text" w:horzAnchor="page" w:tblpXSpec="center" w:tblpY="26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054"/>
        <w:gridCol w:w="1489"/>
        <w:gridCol w:w="1362"/>
        <w:gridCol w:w="1605"/>
        <w:gridCol w:w="565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名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性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 xml:space="preserve"> 别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年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龄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政治面貌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16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200" w:firstLineChars="1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学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历</w:t>
            </w:r>
          </w:p>
        </w:tc>
        <w:tc>
          <w:tcPr>
            <w:tcW w:w="14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健康状况</w:t>
            </w:r>
          </w:p>
        </w:tc>
        <w:tc>
          <w:tcPr>
            <w:tcW w:w="160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07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医务处电话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</w:t>
            </w: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称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参加工作时间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联系电话</w:t>
            </w:r>
          </w:p>
        </w:tc>
        <w:tc>
          <w:tcPr>
            <w:tcW w:w="3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所在单位名称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县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u w:val="none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单位类别（请划√）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both"/>
              <w:rPr>
                <w:rFonts w:hint="default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我院医联体内医院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>（是 否） 我院对口支援医院（是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身份证号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医（技）师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0"/>
                <w:szCs w:val="18"/>
                <w:lang w:eastAsia="zh-CN"/>
              </w:rPr>
              <w:t>执业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证件号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1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申请进修科室名称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儿科--儿科神经专科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316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申请进修总时间</w:t>
            </w:r>
          </w:p>
        </w:tc>
        <w:tc>
          <w:tcPr>
            <w:tcW w:w="50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  年    月    日至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工作经历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起  止  年  月</w:t>
            </w: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工作单位名称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  <w:jc w:val="center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</w:tc>
        <w:tc>
          <w:tcPr>
            <w:tcW w:w="35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选送单位意见</w:t>
            </w:r>
          </w:p>
        </w:tc>
        <w:tc>
          <w:tcPr>
            <w:tcW w:w="75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>
            <w:pPr>
              <w:widowControl/>
              <w:spacing w:line="600" w:lineRule="exact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</w:pPr>
          </w:p>
          <w:p>
            <w:pPr>
              <w:widowControl/>
              <w:spacing w:line="600" w:lineRule="exact"/>
              <w:ind w:firstLine="2400" w:firstLineChars="120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eastAsia="zh-CN"/>
              </w:rPr>
              <w:t>盖章（单位公章）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18"/>
                <w:lang w:val="en-US" w:eastAsia="zh-CN"/>
              </w:rPr>
              <w:t xml:space="preserve">      年    月    日</w:t>
            </w:r>
          </w:p>
        </w:tc>
      </w:tr>
    </w:tbl>
    <w:p>
      <w:pPr>
        <w:spacing w:line="560" w:lineRule="exact"/>
        <w:ind w:firstLine="3992" w:firstLineChars="190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申请人签字：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填表日期：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single"/>
          <w:lang w:val="en-US" w:eastAsia="zh-CN"/>
        </w:rPr>
        <w:t xml:space="preserve">  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u w:val="none"/>
          <w:lang w:val="en-US" w:eastAsia="zh-CN"/>
        </w:rPr>
        <w:t>日</w:t>
      </w:r>
    </w:p>
    <w:p>
      <w:pPr>
        <w:spacing w:line="560" w:lineRule="exact"/>
        <w:jc w:val="both"/>
        <w:rPr>
          <w:rFonts w:hint="eastAsia" w:ascii="仿宋" w:hAnsi="仿宋" w:eastAsia="仿宋" w:cs="仿宋"/>
          <w:b/>
          <w:bCs/>
          <w:sz w:val="22"/>
          <w:szCs w:val="22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20"/>
          <w:u w:val="single"/>
          <w:lang w:val="en-US" w:eastAsia="zh-CN"/>
        </w:rPr>
        <w:t>备注：本申请除申请人签字项目需要本人签名外，其他内容需打印</w:t>
      </w:r>
      <w:r>
        <w:rPr>
          <w:rFonts w:hint="eastAsia" w:ascii="微软雅黑" w:hAnsi="微软雅黑" w:eastAsia="微软雅黑" w:cs="微软雅黑"/>
          <w:b/>
          <w:bCs/>
          <w:sz w:val="21"/>
          <w:szCs w:val="21"/>
          <w:u w:val="single"/>
          <w:lang w:val="en-US" w:eastAsia="zh-CN"/>
        </w:rPr>
        <w:t>。</w:t>
      </w:r>
    </w:p>
    <w:p>
      <w:pPr>
        <w:spacing w:line="560" w:lineRule="exact"/>
        <w:jc w:val="center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  <w:lang w:eastAsia="zh-CN"/>
        </w:rPr>
        <w:t>河南省人民医院外院工作人员进修</w:t>
      </w:r>
      <w:r>
        <w:rPr>
          <w:rFonts w:hint="eastAsia" w:ascii="微软雅黑" w:hAnsi="微软雅黑" w:eastAsia="微软雅黑" w:cs="微软雅黑"/>
          <w:b/>
          <w:bCs/>
          <w:color w:val="000000"/>
          <w:sz w:val="28"/>
          <w:szCs w:val="28"/>
          <w:shd w:val="clear" w:color="auto" w:fill="auto"/>
        </w:rPr>
        <w:t>协议书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3080" w:firstLineChars="1100"/>
        <w:jc w:val="both"/>
        <w:textAlignment w:val="auto"/>
        <w:outlineLvl w:val="9"/>
        <w:rPr>
          <w:rFonts w:hint="eastAsia" w:ascii="微软雅黑" w:hAnsi="微软雅黑" w:eastAsia="微软雅黑" w:cs="微软雅黑"/>
          <w:b w:val="0"/>
          <w:bCs w:val="0"/>
          <w:color w:val="000000"/>
          <w:sz w:val="28"/>
          <w:szCs w:val="28"/>
          <w:shd w:val="clear" w:color="auto" w:fill="auto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甲方：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河南省人民医院教育培训部继续教育科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（以下简称甲方）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：（进修人员姓名）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（以下简称乙方）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丙方：（进修人员单位名称）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</w:t>
      </w:r>
      <w:r>
        <w:rPr>
          <w:rFonts w:hint="eastAsia" w:ascii="宋体" w:hAnsi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（以下简称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为了加强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对进修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工作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的管理，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进一步明确各方职责，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针对当前工作中的实际情况，经协商达成如下协议：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一、甲方的权利和义务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1、甲方在乙方报到后，需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告知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甲方的相关管理规定。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2、甲方需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按照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及其单位的意愿安排相应专业的进修学习。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甲方负责监督及指导日常教学工作。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3、甲方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需督促甲方的各科室认真执行本科室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制定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的进修人员培养方案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</w:rPr>
        <w:t>甲方需依照协议在自己的职责范围内协调解决乙方提出的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  <w:lang w:eastAsia="zh-CN"/>
        </w:rPr>
        <w:t>学习方面的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shd w:val="clear" w:color="auto" w:fill="auto"/>
        </w:rPr>
        <w:t>合理要求。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二、乙方的权利和义务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1、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乙方在进修期间，必须遵守甲方《河南省人民医院进修人员管理规定》，知晓《进修人员须知》的相关内容。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因违反上述规定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引起的纠纷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，由乙方自行解决，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概不负责。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2、乙方在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进修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期间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的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人身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财产安全由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乙方个人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负责，由此引发的纠纷由乙方负责解决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3、甲方不负责乙方在进修期间的住宿，乙方在外住宿发生的安全问题由乙方个人负责。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、乙方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在进修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期间违反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有关规定，给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造成各类经济损失的，由乙方赔偿。给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</w:rPr>
        <w:t>造成其他损失的，按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甲方《河南省人民医院进修人员管理规定》处理。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三、丙方的权利和义务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1、丙方有权利申请调整进修人员的进修时长及进修科室，并负责向甲方递交调整申请。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315" w:firstLineChars="15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2、丙方需要按照《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eastAsia="zh-CN"/>
        </w:rPr>
        <w:t>河南省人民医院进修人员管理规定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shd w:val="clear" w:color="auto" w:fill="auto"/>
          <w:lang w:val="en-US" w:eastAsia="zh-CN"/>
        </w:rPr>
        <w:t>》中第一章进修接收条件及要求推选进修人员。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四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未尽事宜见《河南省人民医院进修人员管理规定》，该管理规定作为本协议的附件，与本协议具有同等法律效力，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其它未尽事宜由甲乙双方共同商定，根据需要可另附文。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五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、本协议经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方签字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、盖章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后生效，有效期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为丙方委派乙方进修期间，进修结束协议终止。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六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、未经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协商一致，</w:t>
      </w:r>
      <w:r>
        <w:rPr>
          <w:rFonts w:hint="eastAsia" w:ascii="宋体" w:hAnsi="宋体" w:eastAsia="宋体" w:cs="宋体"/>
          <w:sz w:val="21"/>
          <w:szCs w:val="21"/>
        </w:rPr>
        <w:t>任何一方不得解除或变更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本协议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。如协议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任何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一方有违约行为，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甲方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劝阻无效时有权终止协议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，即解除进修合作关系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七、本协议在履行过程中发生争议，三方可协商解决，协商不成，可向甲方所在地人民法院提起诉讼。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八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、本协议一式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份，协议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方各持一份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 xml:space="preserve"> 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甲方：河南省人民医院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教育培训部继续教育科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（盖章）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val="en-US" w:eastAsia="zh-CN"/>
        </w:rPr>
        <w:t>乙方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（签字）：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42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丙方：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</w:rPr>
        <w:t>（盖章）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auto"/>
          <w:lang w:eastAsia="zh-CN"/>
        </w:rPr>
        <w:t>：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100" w:beforeLines="0" w:beforeAutospacing="1" w:after="100" w:afterLines="0" w:afterAutospacing="1" w:line="320" w:lineRule="exact"/>
        <w:ind w:firstLine="6510" w:firstLineChars="3100"/>
        <w:textAlignment w:val="auto"/>
        <w:outlineLvl w:val="9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shd w:val="clear" w:color="auto" w:fill="auto"/>
        </w:rPr>
        <w:t xml:space="preserve">年   月   日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ZDQwYWQzOWQ4ODIwYzU0Yzc5NDJlZDk4MmE1MTQifQ=="/>
  </w:docVars>
  <w:rsids>
    <w:rsidRoot w:val="00000000"/>
    <w:rsid w:val="0FD9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2023-04-13T07:25:46Z</dcterms:created>
  <dc:creator>Administrator</dc:creator>
  <cp:lastModifiedBy>张岩</cp:lastModifiedBy>
  <dcterms:modified xsi:type="dcterms:W3CDTF">2023-04-13T07:25:54Z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4B1A3EBB5A25465FBC62E6E0D69117CC_12</vt:lpwstr>
  </property>
</Properties>
</file>