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1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03"/>
        <w:gridCol w:w="3625"/>
        <w:gridCol w:w="2067"/>
        <w:gridCol w:w="3039"/>
        <w:gridCol w:w="796"/>
      </w:tblGrid>
      <w:tr w14:paraId="5CE2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79" w:type="dxa"/>
            <w:gridSpan w:val="6"/>
            <w:tcBorders>
              <w:top w:val="nil"/>
              <w:left w:val="nil"/>
              <w:right w:val="nil"/>
            </w:tcBorders>
            <w:shd w:val="clear" w:color="auto" w:fill="auto"/>
            <w:vAlign w:val="center"/>
          </w:tcPr>
          <w:p w14:paraId="5507AD3D">
            <w:pPr>
              <w:widowControl/>
              <w:adjustRightInd w:val="0"/>
              <w:snapToGrid w:val="0"/>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基因测序仪</w:t>
            </w:r>
          </w:p>
        </w:tc>
      </w:tr>
      <w:tr w14:paraId="3229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9" w:type="dxa"/>
            <w:tcBorders>
              <w:tl2br w:val="nil"/>
              <w:tr2bl w:val="nil"/>
            </w:tcBorders>
            <w:shd w:val="clear" w:color="auto" w:fill="auto"/>
            <w:vAlign w:val="center"/>
          </w:tcPr>
          <w:p w14:paraId="44A241C0">
            <w:pPr>
              <w:widowControl/>
              <w:adjustRightInd w:val="0"/>
              <w:snapToGrid w:val="0"/>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9234" w:type="dxa"/>
            <w:gridSpan w:val="4"/>
            <w:tcBorders>
              <w:tl2br w:val="nil"/>
              <w:tr2bl w:val="nil"/>
            </w:tcBorders>
            <w:shd w:val="clear" w:color="auto" w:fill="auto"/>
            <w:vAlign w:val="center"/>
          </w:tcPr>
          <w:p w14:paraId="76FF3282">
            <w:pPr>
              <w:widowControl/>
              <w:adjustRightInd w:val="0"/>
              <w:snapToGrid w:val="0"/>
              <w:spacing w:line="2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796" w:type="dxa"/>
            <w:tcBorders>
              <w:tl2br w:val="nil"/>
              <w:tr2bl w:val="nil"/>
            </w:tcBorders>
            <w:shd w:val="clear" w:color="auto" w:fill="auto"/>
            <w:vAlign w:val="center"/>
          </w:tcPr>
          <w:p w14:paraId="7AEACB03">
            <w:pPr>
              <w:widowControl/>
              <w:adjustRightInd w:val="0"/>
              <w:snapToGrid w:val="0"/>
              <w:spacing w:line="24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155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9" w:type="dxa"/>
            <w:tcBorders>
              <w:tl2br w:val="nil"/>
              <w:tr2bl w:val="nil"/>
            </w:tcBorders>
            <w:shd w:val="clear" w:color="auto" w:fill="auto"/>
            <w:vAlign w:val="center"/>
          </w:tcPr>
          <w:p w14:paraId="109C39A0">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34" w:type="dxa"/>
            <w:gridSpan w:val="4"/>
            <w:tcBorders>
              <w:tl2br w:val="nil"/>
              <w:tr2bl w:val="nil"/>
            </w:tcBorders>
            <w:shd w:val="clear" w:color="auto" w:fill="auto"/>
            <w:vAlign w:val="center"/>
          </w:tcPr>
          <w:p w14:paraId="4B541B67">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796" w:type="dxa"/>
            <w:tcBorders>
              <w:tl2br w:val="nil"/>
              <w:tr2bl w:val="nil"/>
            </w:tcBorders>
            <w:shd w:val="clear" w:color="auto" w:fill="auto"/>
            <w:vAlign w:val="center"/>
          </w:tcPr>
          <w:p w14:paraId="73EDC7DB">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4C8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433BCB78">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9234" w:type="dxa"/>
            <w:gridSpan w:val="4"/>
            <w:tcBorders>
              <w:tl2br w:val="nil"/>
              <w:tr2bl w:val="nil"/>
            </w:tcBorders>
            <w:shd w:val="clear" w:color="auto" w:fill="auto"/>
            <w:vAlign w:val="center"/>
          </w:tcPr>
          <w:p w14:paraId="2B3021FF">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796" w:type="dxa"/>
            <w:tcBorders>
              <w:tl2br w:val="nil"/>
              <w:tr2bl w:val="nil"/>
            </w:tcBorders>
            <w:shd w:val="clear" w:color="auto" w:fill="auto"/>
            <w:vAlign w:val="center"/>
          </w:tcPr>
          <w:p w14:paraId="7D13248F">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A88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5FFF1A25">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9234" w:type="dxa"/>
            <w:gridSpan w:val="4"/>
            <w:tcBorders>
              <w:tl2br w:val="nil"/>
              <w:tr2bl w:val="nil"/>
            </w:tcBorders>
            <w:shd w:val="clear" w:color="auto" w:fill="auto"/>
            <w:vAlign w:val="center"/>
          </w:tcPr>
          <w:p w14:paraId="098D1495">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提供设备、</w:t>
            </w:r>
            <w:r>
              <w:rPr>
                <w:rFonts w:hint="eastAsia" w:ascii="仿宋_GB2312" w:hAnsi="宋体" w:eastAsia="仿宋_GB2312" w:cs="宋体"/>
                <w:kern w:val="0"/>
                <w:sz w:val="28"/>
                <w:szCs w:val="28"/>
                <w:lang w:val="en-US" w:eastAsia="zh-CN"/>
              </w:rPr>
              <w:t>试剂耗材</w:t>
            </w:r>
            <w:r>
              <w:rPr>
                <w:rFonts w:hint="eastAsia" w:ascii="仿宋_GB2312" w:hAnsi="宋体" w:eastAsia="仿宋_GB2312" w:cs="宋体"/>
                <w:kern w:val="0"/>
                <w:sz w:val="28"/>
                <w:szCs w:val="28"/>
              </w:rPr>
              <w:t>医疗器械注册证</w:t>
            </w:r>
          </w:p>
        </w:tc>
        <w:tc>
          <w:tcPr>
            <w:tcW w:w="796" w:type="dxa"/>
            <w:tcBorders>
              <w:tl2br w:val="nil"/>
              <w:tr2bl w:val="nil"/>
            </w:tcBorders>
            <w:shd w:val="clear" w:color="auto" w:fill="auto"/>
            <w:vAlign w:val="center"/>
          </w:tcPr>
          <w:p w14:paraId="0F78700A">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C5B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4D121728">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234" w:type="dxa"/>
            <w:gridSpan w:val="4"/>
            <w:tcBorders>
              <w:tl2br w:val="nil"/>
              <w:tr2bl w:val="nil"/>
            </w:tcBorders>
            <w:shd w:val="clear" w:color="auto" w:fill="auto"/>
            <w:vAlign w:val="center"/>
          </w:tcPr>
          <w:p w14:paraId="549587E0">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796" w:type="dxa"/>
            <w:tcBorders>
              <w:tl2br w:val="nil"/>
              <w:tr2bl w:val="nil"/>
            </w:tcBorders>
            <w:shd w:val="clear" w:color="auto" w:fill="auto"/>
            <w:vAlign w:val="center"/>
          </w:tcPr>
          <w:p w14:paraId="496F8E24">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5F4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9" w:type="dxa"/>
            <w:tcBorders>
              <w:tl2br w:val="nil"/>
              <w:tr2bl w:val="nil"/>
            </w:tcBorders>
            <w:shd w:val="clear" w:color="auto" w:fill="auto"/>
            <w:vAlign w:val="center"/>
          </w:tcPr>
          <w:p w14:paraId="1A9CF5E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9234" w:type="dxa"/>
            <w:gridSpan w:val="4"/>
            <w:tcBorders>
              <w:tl2br w:val="nil"/>
              <w:tr2bl w:val="nil"/>
            </w:tcBorders>
            <w:shd w:val="clear" w:color="auto" w:fill="auto"/>
            <w:vAlign w:val="center"/>
          </w:tcPr>
          <w:p w14:paraId="248AE98C">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796" w:type="dxa"/>
            <w:tcBorders>
              <w:tl2br w:val="nil"/>
              <w:tr2bl w:val="nil"/>
            </w:tcBorders>
            <w:shd w:val="clear" w:color="auto" w:fill="auto"/>
            <w:vAlign w:val="center"/>
          </w:tcPr>
          <w:p w14:paraId="5E3353B2">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4A9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9" w:type="dxa"/>
            <w:tcBorders>
              <w:tl2br w:val="nil"/>
              <w:tr2bl w:val="nil"/>
            </w:tcBorders>
            <w:shd w:val="clear" w:color="auto" w:fill="auto"/>
            <w:vAlign w:val="center"/>
          </w:tcPr>
          <w:p w14:paraId="727A856F">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234" w:type="dxa"/>
            <w:gridSpan w:val="4"/>
            <w:tcBorders>
              <w:tl2br w:val="nil"/>
              <w:tr2bl w:val="nil"/>
            </w:tcBorders>
            <w:shd w:val="clear" w:color="auto" w:fill="auto"/>
            <w:vAlign w:val="center"/>
          </w:tcPr>
          <w:p w14:paraId="38B53253">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796" w:type="dxa"/>
            <w:tcBorders>
              <w:tl2br w:val="nil"/>
              <w:tr2bl w:val="nil"/>
            </w:tcBorders>
            <w:shd w:val="clear" w:color="auto" w:fill="auto"/>
            <w:vAlign w:val="center"/>
          </w:tcPr>
          <w:p w14:paraId="0B3576B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55A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49" w:type="dxa"/>
            <w:tcBorders>
              <w:tl2br w:val="nil"/>
              <w:tr2bl w:val="nil"/>
            </w:tcBorders>
            <w:shd w:val="clear" w:color="auto" w:fill="auto"/>
            <w:vAlign w:val="center"/>
          </w:tcPr>
          <w:p w14:paraId="3392947B">
            <w:pPr>
              <w:widowControl/>
              <w:adjustRightInd w:val="0"/>
              <w:snapToGrid w:val="0"/>
              <w:spacing w:line="240" w:lineRule="atLeast"/>
              <w:jc w:val="center"/>
              <w:textAlignment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7</w:t>
            </w:r>
          </w:p>
        </w:tc>
        <w:tc>
          <w:tcPr>
            <w:tcW w:w="9234" w:type="dxa"/>
            <w:gridSpan w:val="4"/>
            <w:tcBorders>
              <w:bottom w:val="single" w:color="auto" w:sz="4" w:space="0"/>
              <w:tl2br w:val="nil"/>
              <w:tr2bl w:val="nil"/>
            </w:tcBorders>
            <w:shd w:val="clear" w:color="auto" w:fill="auto"/>
            <w:vAlign w:val="center"/>
          </w:tcPr>
          <w:p w14:paraId="7B7AAB96">
            <w:pPr>
              <w:widowControl/>
              <w:adjustRightInd w:val="0"/>
              <w:snapToGrid w:val="0"/>
              <w:spacing w:line="240" w:lineRule="atLeas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不得随机配置需要使用专用耗材或试剂的设备</w:t>
            </w:r>
          </w:p>
        </w:tc>
        <w:tc>
          <w:tcPr>
            <w:tcW w:w="796" w:type="dxa"/>
            <w:tcBorders>
              <w:tl2br w:val="nil"/>
              <w:tr2bl w:val="nil"/>
            </w:tcBorders>
            <w:shd w:val="clear" w:color="auto" w:fill="auto"/>
            <w:vAlign w:val="center"/>
          </w:tcPr>
          <w:p w14:paraId="3C4DEA1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B36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9" w:type="dxa"/>
            <w:tcBorders>
              <w:tl2br w:val="nil"/>
              <w:tr2bl w:val="nil"/>
            </w:tcBorders>
            <w:shd w:val="clear" w:color="auto" w:fill="auto"/>
            <w:vAlign w:val="center"/>
          </w:tcPr>
          <w:p w14:paraId="6A37D4A3">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9234" w:type="dxa"/>
            <w:gridSpan w:val="4"/>
            <w:tcBorders>
              <w:top w:val="nil"/>
              <w:tl2br w:val="nil"/>
              <w:tr2bl w:val="nil"/>
            </w:tcBorders>
            <w:shd w:val="clear" w:color="auto" w:fill="auto"/>
            <w:vAlign w:val="center"/>
          </w:tcPr>
          <w:p w14:paraId="4DE056B1">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796" w:type="dxa"/>
            <w:tcBorders>
              <w:tl2br w:val="nil"/>
              <w:tr2bl w:val="nil"/>
            </w:tcBorders>
            <w:shd w:val="clear" w:color="auto" w:fill="auto"/>
            <w:vAlign w:val="center"/>
          </w:tcPr>
          <w:p w14:paraId="147861B1">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1台</w:t>
            </w:r>
          </w:p>
        </w:tc>
      </w:tr>
      <w:tr w14:paraId="4E9A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1D8AC2C1">
            <w:pPr>
              <w:widowControl/>
              <w:adjustRightInd w:val="0"/>
              <w:snapToGrid w:val="0"/>
              <w:spacing w:line="240" w:lineRule="atLeas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9234" w:type="dxa"/>
            <w:gridSpan w:val="4"/>
            <w:tcBorders>
              <w:tl2br w:val="nil"/>
              <w:tr2bl w:val="nil"/>
            </w:tcBorders>
            <w:shd w:val="clear" w:color="auto" w:fill="auto"/>
            <w:vAlign w:val="center"/>
          </w:tcPr>
          <w:p w14:paraId="68B11EFC">
            <w:pPr>
              <w:widowControl/>
              <w:adjustRightInd w:val="0"/>
              <w:snapToGrid w:val="0"/>
              <w:spacing w:line="24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796" w:type="dxa"/>
            <w:tcBorders>
              <w:tl2br w:val="nil"/>
              <w:tr2bl w:val="nil"/>
            </w:tcBorders>
            <w:shd w:val="clear" w:color="auto" w:fill="auto"/>
            <w:vAlign w:val="center"/>
          </w:tcPr>
          <w:p w14:paraId="2119B3A5">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0133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49" w:type="dxa"/>
            <w:tcBorders>
              <w:tl2br w:val="nil"/>
              <w:tr2bl w:val="nil"/>
            </w:tcBorders>
            <w:shd w:val="clear" w:color="auto" w:fill="auto"/>
            <w:vAlign w:val="center"/>
          </w:tcPr>
          <w:p w14:paraId="75463313">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9234" w:type="dxa"/>
            <w:gridSpan w:val="4"/>
            <w:tcBorders>
              <w:tl2br w:val="nil"/>
              <w:tr2bl w:val="nil"/>
            </w:tcBorders>
            <w:shd w:val="clear" w:color="auto" w:fill="auto"/>
            <w:vAlign w:val="center"/>
          </w:tcPr>
          <w:p w14:paraId="1932945C">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满足开展外显子测序、基因组低深度测序、靶向基因测序、全转录组测序、全基因组甲基化测序、单细胞测序、单细胞甲基化测序等应用</w:t>
            </w:r>
          </w:p>
        </w:tc>
        <w:tc>
          <w:tcPr>
            <w:tcW w:w="796" w:type="dxa"/>
            <w:tcBorders>
              <w:tl2br w:val="nil"/>
              <w:tr2bl w:val="nil"/>
            </w:tcBorders>
            <w:shd w:val="clear" w:color="auto" w:fill="auto"/>
            <w:vAlign w:val="center"/>
          </w:tcPr>
          <w:p w14:paraId="3B06AAA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F12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49" w:type="dxa"/>
            <w:tcBorders>
              <w:tl2br w:val="nil"/>
              <w:tr2bl w:val="nil"/>
            </w:tcBorders>
            <w:shd w:val="clear" w:color="auto" w:fill="auto"/>
            <w:vAlign w:val="center"/>
          </w:tcPr>
          <w:p w14:paraId="59FFB7F3">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9234" w:type="dxa"/>
            <w:gridSpan w:val="4"/>
            <w:tcBorders>
              <w:tl2br w:val="nil"/>
              <w:tr2bl w:val="nil"/>
            </w:tcBorders>
            <w:shd w:val="clear" w:color="auto" w:fill="auto"/>
            <w:vAlign w:val="center"/>
          </w:tcPr>
          <w:p w14:paraId="6826904F">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用于对来源于人体样本的脱氧核糖核酸（DNA）和核糖核酸（RNA）进行测序</w:t>
            </w:r>
          </w:p>
        </w:tc>
        <w:tc>
          <w:tcPr>
            <w:tcW w:w="796" w:type="dxa"/>
            <w:tcBorders>
              <w:tl2br w:val="nil"/>
              <w:tr2bl w:val="nil"/>
            </w:tcBorders>
            <w:shd w:val="clear" w:color="auto" w:fill="auto"/>
            <w:vAlign w:val="center"/>
          </w:tcPr>
          <w:p w14:paraId="2A29F14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9B1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66B27D5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9234" w:type="dxa"/>
            <w:gridSpan w:val="4"/>
            <w:tcBorders>
              <w:tl2br w:val="nil"/>
              <w:tr2bl w:val="nil"/>
            </w:tcBorders>
            <w:shd w:val="clear" w:color="auto" w:fill="auto"/>
            <w:vAlign w:val="center"/>
          </w:tcPr>
          <w:p w14:paraId="3BC0E1A1">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测序芯片系统：支持两张芯片同时上机；四色通道光学系统；单张芯片通道数≥4条lane，支持分lane测序</w:t>
            </w:r>
          </w:p>
        </w:tc>
        <w:tc>
          <w:tcPr>
            <w:tcW w:w="796" w:type="dxa"/>
            <w:tcBorders>
              <w:tl2br w:val="nil"/>
              <w:tr2bl w:val="nil"/>
            </w:tcBorders>
            <w:shd w:val="clear" w:color="auto" w:fill="auto"/>
            <w:vAlign w:val="center"/>
          </w:tcPr>
          <w:p w14:paraId="4BEEAA7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5C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9" w:type="dxa"/>
            <w:tcBorders>
              <w:tl2br w:val="nil"/>
              <w:tr2bl w:val="nil"/>
            </w:tcBorders>
            <w:shd w:val="clear" w:color="auto" w:fill="auto"/>
            <w:vAlign w:val="center"/>
          </w:tcPr>
          <w:p w14:paraId="4CCDB2B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9234" w:type="dxa"/>
            <w:gridSpan w:val="4"/>
            <w:tcBorders>
              <w:tl2br w:val="nil"/>
              <w:tr2bl w:val="nil"/>
            </w:tcBorders>
            <w:shd w:val="clear" w:color="auto" w:fill="auto"/>
            <w:vAlign w:val="center"/>
          </w:tcPr>
          <w:p w14:paraId="3851F02C">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支持SE50、SE75、SE100、PE100、PE150等多种测序读长模式</w:t>
            </w:r>
          </w:p>
        </w:tc>
        <w:tc>
          <w:tcPr>
            <w:tcW w:w="796" w:type="dxa"/>
            <w:tcBorders>
              <w:tl2br w:val="nil"/>
              <w:tr2bl w:val="nil"/>
            </w:tcBorders>
            <w:shd w:val="clear" w:color="auto" w:fill="auto"/>
            <w:vAlign w:val="center"/>
          </w:tcPr>
          <w:p w14:paraId="57ADA65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B76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2BF6228E">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9234" w:type="dxa"/>
            <w:gridSpan w:val="4"/>
            <w:tcBorders>
              <w:tl2br w:val="nil"/>
              <w:tr2bl w:val="nil"/>
            </w:tcBorders>
            <w:shd w:val="clear" w:color="auto" w:fill="auto"/>
            <w:vAlign w:val="center"/>
          </w:tcPr>
          <w:p w14:paraId="2B32707D">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支持多种芯片类型</w:t>
            </w:r>
          </w:p>
        </w:tc>
        <w:tc>
          <w:tcPr>
            <w:tcW w:w="796" w:type="dxa"/>
            <w:tcBorders>
              <w:tl2br w:val="nil"/>
              <w:tr2bl w:val="nil"/>
            </w:tcBorders>
            <w:shd w:val="clear" w:color="auto" w:fill="auto"/>
            <w:vAlign w:val="center"/>
          </w:tcPr>
          <w:p w14:paraId="76C64C2E">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7A8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49F3FE14">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234" w:type="dxa"/>
            <w:gridSpan w:val="4"/>
            <w:tcBorders>
              <w:tl2br w:val="nil"/>
              <w:tr2bl w:val="nil"/>
            </w:tcBorders>
            <w:shd w:val="clear" w:color="auto" w:fill="auto"/>
            <w:vAlign w:val="center"/>
          </w:tcPr>
          <w:p w14:paraId="10106398">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单次运行数据产出≥300G</w:t>
            </w:r>
          </w:p>
        </w:tc>
        <w:tc>
          <w:tcPr>
            <w:tcW w:w="796" w:type="dxa"/>
            <w:tcBorders>
              <w:tl2br w:val="nil"/>
              <w:tr2bl w:val="nil"/>
            </w:tcBorders>
            <w:shd w:val="clear" w:color="auto" w:fill="auto"/>
            <w:vAlign w:val="center"/>
          </w:tcPr>
          <w:p w14:paraId="6E6D9E5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8AC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49" w:type="dxa"/>
            <w:tcBorders>
              <w:tl2br w:val="nil"/>
              <w:tr2bl w:val="nil"/>
            </w:tcBorders>
            <w:shd w:val="clear" w:color="auto" w:fill="auto"/>
            <w:vAlign w:val="center"/>
          </w:tcPr>
          <w:p w14:paraId="3475409E">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9234" w:type="dxa"/>
            <w:gridSpan w:val="4"/>
            <w:tcBorders>
              <w:tl2br w:val="nil"/>
              <w:tr2bl w:val="nil"/>
            </w:tcBorders>
            <w:shd w:val="clear" w:color="auto" w:fill="auto"/>
            <w:vAlign w:val="center"/>
          </w:tcPr>
          <w:p w14:paraId="47FDEADD">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四色荧光标记不同的碱基</w:t>
            </w:r>
          </w:p>
        </w:tc>
        <w:tc>
          <w:tcPr>
            <w:tcW w:w="796" w:type="dxa"/>
            <w:tcBorders>
              <w:tl2br w:val="nil"/>
              <w:tr2bl w:val="nil"/>
            </w:tcBorders>
            <w:shd w:val="clear" w:color="auto" w:fill="auto"/>
            <w:vAlign w:val="center"/>
          </w:tcPr>
          <w:p w14:paraId="371BC56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17D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3C38E494">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9234" w:type="dxa"/>
            <w:gridSpan w:val="4"/>
            <w:tcBorders>
              <w:tl2br w:val="nil"/>
              <w:tr2bl w:val="nil"/>
            </w:tcBorders>
            <w:shd w:val="clear" w:color="auto" w:fill="auto"/>
            <w:vAlign w:val="center"/>
          </w:tcPr>
          <w:p w14:paraId="28A28632">
            <w:pPr>
              <w:widowControl/>
              <w:adjustRightInd w:val="0"/>
              <w:snapToGrid w:val="0"/>
              <w:spacing w:line="240" w:lineRule="atLeast"/>
              <w:jc w:val="left"/>
              <w:rPr>
                <w:rFonts w:cs="宋体" w:asciiTheme="minorEastAsia" w:hAnsiTheme="minorEastAsia"/>
                <w:kern w:val="0"/>
                <w:sz w:val="24"/>
                <w:szCs w:val="28"/>
              </w:rPr>
            </w:pPr>
            <w:r>
              <w:rPr>
                <w:rFonts w:hint="eastAsia" w:ascii="仿宋_GB2312" w:hAnsi="宋体" w:eastAsia="仿宋_GB2312" w:cs="宋体"/>
                <w:kern w:val="0"/>
                <w:sz w:val="28"/>
                <w:szCs w:val="28"/>
              </w:rPr>
              <w:t>具备一键测序模式</w:t>
            </w:r>
          </w:p>
        </w:tc>
        <w:tc>
          <w:tcPr>
            <w:tcW w:w="796" w:type="dxa"/>
            <w:tcBorders>
              <w:tl2br w:val="nil"/>
              <w:tr2bl w:val="nil"/>
            </w:tcBorders>
            <w:shd w:val="clear" w:color="auto" w:fill="auto"/>
            <w:vAlign w:val="center"/>
          </w:tcPr>
          <w:p w14:paraId="678DD21B">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26C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5D2CE3D0">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9234" w:type="dxa"/>
            <w:gridSpan w:val="4"/>
            <w:tcBorders>
              <w:tl2br w:val="nil"/>
              <w:tr2bl w:val="nil"/>
            </w:tcBorders>
            <w:shd w:val="clear" w:color="auto" w:fill="auto"/>
            <w:vAlign w:val="center"/>
          </w:tcPr>
          <w:p w14:paraId="31F4C6B7">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从核酸到可测序文库样本的处理过程，无需进行油包水反应</w:t>
            </w:r>
          </w:p>
        </w:tc>
        <w:tc>
          <w:tcPr>
            <w:tcW w:w="796" w:type="dxa"/>
            <w:tcBorders>
              <w:tl2br w:val="nil"/>
              <w:tr2bl w:val="nil"/>
            </w:tcBorders>
            <w:shd w:val="clear" w:color="auto" w:fill="auto"/>
            <w:vAlign w:val="center"/>
          </w:tcPr>
          <w:p w14:paraId="143A474B">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931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319C11A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9234" w:type="dxa"/>
            <w:gridSpan w:val="4"/>
            <w:tcBorders>
              <w:tl2br w:val="nil"/>
              <w:tr2bl w:val="nil"/>
            </w:tcBorders>
            <w:shd w:val="clear" w:color="auto" w:fill="auto"/>
            <w:vAlign w:val="center"/>
          </w:tcPr>
          <w:p w14:paraId="20A724B5">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全封闭检测室，测序试剂盒即插即用，具备试剂盒放置到位检测功能</w:t>
            </w:r>
          </w:p>
        </w:tc>
        <w:tc>
          <w:tcPr>
            <w:tcW w:w="796" w:type="dxa"/>
            <w:tcBorders>
              <w:tl2br w:val="nil"/>
              <w:tr2bl w:val="nil"/>
            </w:tcBorders>
            <w:shd w:val="clear" w:color="auto" w:fill="auto"/>
            <w:vAlign w:val="center"/>
          </w:tcPr>
          <w:p w14:paraId="4DA35D7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957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558ED88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9234" w:type="dxa"/>
            <w:gridSpan w:val="4"/>
            <w:tcBorders>
              <w:tl2br w:val="nil"/>
              <w:tr2bl w:val="nil"/>
            </w:tcBorders>
            <w:shd w:val="clear" w:color="auto" w:fill="auto"/>
            <w:vAlign w:val="center"/>
          </w:tcPr>
          <w:p w14:paraId="7E651019">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数据质量满足PE100，Q30≥85%，PE150，Q30≥85%</w:t>
            </w:r>
          </w:p>
        </w:tc>
        <w:tc>
          <w:tcPr>
            <w:tcW w:w="796" w:type="dxa"/>
            <w:tcBorders>
              <w:tl2br w:val="nil"/>
              <w:tr2bl w:val="nil"/>
            </w:tcBorders>
            <w:shd w:val="clear" w:color="auto" w:fill="auto"/>
            <w:vAlign w:val="center"/>
          </w:tcPr>
          <w:p w14:paraId="13B8F9A4">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57C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68C1B69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9234" w:type="dxa"/>
            <w:gridSpan w:val="4"/>
            <w:tcBorders>
              <w:tl2br w:val="nil"/>
              <w:tr2bl w:val="nil"/>
            </w:tcBorders>
            <w:shd w:val="clear" w:color="auto" w:fill="auto"/>
            <w:vAlign w:val="center"/>
          </w:tcPr>
          <w:p w14:paraId="21345730">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提供快捷清洗模式</w:t>
            </w:r>
          </w:p>
        </w:tc>
        <w:tc>
          <w:tcPr>
            <w:tcW w:w="796" w:type="dxa"/>
            <w:tcBorders>
              <w:tl2br w:val="nil"/>
              <w:tr2bl w:val="nil"/>
            </w:tcBorders>
            <w:shd w:val="clear" w:color="auto" w:fill="auto"/>
            <w:vAlign w:val="center"/>
          </w:tcPr>
          <w:p w14:paraId="5C37C7E8">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354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49" w:type="dxa"/>
            <w:tcBorders>
              <w:tl2br w:val="nil"/>
              <w:tr2bl w:val="nil"/>
            </w:tcBorders>
            <w:shd w:val="clear" w:color="auto" w:fill="auto"/>
            <w:vAlign w:val="center"/>
          </w:tcPr>
          <w:p w14:paraId="01146E4D">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9234" w:type="dxa"/>
            <w:gridSpan w:val="4"/>
            <w:tcBorders>
              <w:tl2br w:val="nil"/>
              <w:tr2bl w:val="nil"/>
            </w:tcBorders>
            <w:shd w:val="clear" w:color="auto" w:fill="auto"/>
            <w:vAlign w:val="center"/>
          </w:tcPr>
          <w:p w14:paraId="598B21D4">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开放测序平台，兼容第三方按照标准要求所开发的测序文库试剂盒</w:t>
            </w:r>
          </w:p>
        </w:tc>
        <w:tc>
          <w:tcPr>
            <w:tcW w:w="796" w:type="dxa"/>
            <w:tcBorders>
              <w:tl2br w:val="nil"/>
              <w:tr2bl w:val="nil"/>
            </w:tcBorders>
            <w:shd w:val="clear" w:color="auto" w:fill="auto"/>
            <w:vAlign w:val="center"/>
          </w:tcPr>
          <w:p w14:paraId="742B2955">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50F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5DE216B6">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9234" w:type="dxa"/>
            <w:gridSpan w:val="4"/>
            <w:tcBorders>
              <w:tl2br w:val="nil"/>
              <w:tr2bl w:val="nil"/>
            </w:tcBorders>
            <w:shd w:val="clear" w:color="auto" w:fill="auto"/>
            <w:vAlign w:val="center"/>
          </w:tcPr>
          <w:p w14:paraId="5F2D6197">
            <w:pPr>
              <w:widowControl/>
              <w:adjustRightInd w:val="0"/>
              <w:snapToGrid w:val="0"/>
              <w:spacing w:line="240" w:lineRule="atLeast"/>
              <w:jc w:val="left"/>
              <w:rPr>
                <w:rFonts w:ascii="仿宋_GB2312" w:hAnsi="宋体" w:eastAsia="仿宋_GB2312" w:cs="宋体"/>
                <w:kern w:val="0"/>
                <w:sz w:val="28"/>
                <w:szCs w:val="28"/>
              </w:rPr>
            </w:pPr>
            <w:r>
              <w:rPr>
                <w:rFonts w:ascii="仿宋_GB2312" w:hAnsi="宋体" w:eastAsia="仿宋_GB2312" w:cs="宋体"/>
                <w:kern w:val="0"/>
                <w:sz w:val="28"/>
                <w:szCs w:val="28"/>
              </w:rPr>
              <w:t>支持标准化数据格式（FASTQ），确保数据与第三方的下游分析和可视化工具兼容</w:t>
            </w:r>
          </w:p>
        </w:tc>
        <w:tc>
          <w:tcPr>
            <w:tcW w:w="796" w:type="dxa"/>
            <w:tcBorders>
              <w:tl2br w:val="nil"/>
              <w:tr2bl w:val="nil"/>
            </w:tcBorders>
            <w:shd w:val="clear" w:color="auto" w:fill="auto"/>
            <w:vAlign w:val="center"/>
          </w:tcPr>
          <w:p w14:paraId="38922B29">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B91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4A653E4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9234" w:type="dxa"/>
            <w:gridSpan w:val="4"/>
            <w:tcBorders>
              <w:tl2br w:val="nil"/>
              <w:tr2bl w:val="nil"/>
            </w:tcBorders>
            <w:shd w:val="clear" w:color="auto" w:fill="auto"/>
          </w:tcPr>
          <w:p w14:paraId="5093DEC8">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提供与高通量基因检测配套的数据分析软件</w:t>
            </w:r>
          </w:p>
        </w:tc>
        <w:tc>
          <w:tcPr>
            <w:tcW w:w="796" w:type="dxa"/>
            <w:tcBorders>
              <w:tl2br w:val="nil"/>
              <w:tr2bl w:val="nil"/>
            </w:tcBorders>
            <w:shd w:val="clear" w:color="auto" w:fill="auto"/>
            <w:vAlign w:val="center"/>
          </w:tcPr>
          <w:p w14:paraId="2DFA3730">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919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tcPr>
          <w:p w14:paraId="132CAE4A">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9234" w:type="dxa"/>
            <w:gridSpan w:val="4"/>
            <w:tcBorders>
              <w:tl2br w:val="nil"/>
              <w:tr2bl w:val="nil"/>
            </w:tcBorders>
            <w:shd w:val="clear" w:color="auto" w:fill="auto"/>
          </w:tcPr>
          <w:p w14:paraId="49E558B4">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提供以下检测项目所需试剂耗材长期供应价格（含名称、品牌、规格、型号、单价）</w:t>
            </w:r>
          </w:p>
        </w:tc>
        <w:tc>
          <w:tcPr>
            <w:tcW w:w="796" w:type="dxa"/>
            <w:tcBorders>
              <w:tl2br w:val="nil"/>
              <w:tr2bl w:val="nil"/>
            </w:tcBorders>
            <w:shd w:val="clear" w:color="auto" w:fill="auto"/>
            <w:vAlign w:val="center"/>
          </w:tcPr>
          <w:p w14:paraId="3E076164">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FD2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tcPr>
          <w:p w14:paraId="6884B87E">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★16.1</w:t>
            </w:r>
          </w:p>
        </w:tc>
        <w:tc>
          <w:tcPr>
            <w:tcW w:w="9234" w:type="dxa"/>
            <w:gridSpan w:val="4"/>
            <w:tcBorders>
              <w:tl2br w:val="nil"/>
              <w:tr2bl w:val="nil"/>
            </w:tcBorders>
            <w:shd w:val="clear" w:color="auto" w:fill="auto"/>
          </w:tcPr>
          <w:p w14:paraId="570E62D1">
            <w:pPr>
              <w:widowControl/>
              <w:adjustRightInd w:val="0"/>
              <w:snapToGrid w:val="0"/>
              <w:spacing w:line="240" w:lineRule="atLeast"/>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全外显子检测</w:t>
            </w:r>
          </w:p>
        </w:tc>
        <w:tc>
          <w:tcPr>
            <w:tcW w:w="796" w:type="dxa"/>
            <w:tcBorders>
              <w:tl2br w:val="nil"/>
              <w:tr2bl w:val="nil"/>
            </w:tcBorders>
            <w:shd w:val="clear" w:color="auto" w:fill="auto"/>
            <w:vAlign w:val="center"/>
          </w:tcPr>
          <w:p w14:paraId="42718A7F">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FD3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tcPr>
          <w:p w14:paraId="7B08A266">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★16.2</w:t>
            </w:r>
          </w:p>
        </w:tc>
        <w:tc>
          <w:tcPr>
            <w:tcW w:w="9234" w:type="dxa"/>
            <w:gridSpan w:val="4"/>
            <w:tcBorders>
              <w:tl2br w:val="nil"/>
              <w:tr2bl w:val="nil"/>
            </w:tcBorders>
            <w:shd w:val="clear" w:color="auto" w:fill="auto"/>
          </w:tcPr>
          <w:p w14:paraId="2CC26F5A">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单基因病携带者筛查</w:t>
            </w:r>
          </w:p>
        </w:tc>
        <w:tc>
          <w:tcPr>
            <w:tcW w:w="796" w:type="dxa"/>
            <w:tcBorders>
              <w:tl2br w:val="nil"/>
              <w:tr2bl w:val="nil"/>
            </w:tcBorders>
            <w:shd w:val="clear" w:color="auto" w:fill="auto"/>
            <w:vAlign w:val="center"/>
          </w:tcPr>
          <w:p w14:paraId="1E95B391">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9B7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dxa"/>
            <w:tcBorders>
              <w:tl2br w:val="nil"/>
              <w:tr2bl w:val="nil"/>
            </w:tcBorders>
            <w:shd w:val="clear" w:color="auto" w:fill="auto"/>
            <w:vAlign w:val="center"/>
          </w:tcPr>
          <w:p w14:paraId="377F9962">
            <w:pPr>
              <w:widowControl/>
              <w:adjustRightInd w:val="0"/>
              <w:snapToGrid w:val="0"/>
              <w:spacing w:line="240" w:lineRule="atLeast"/>
              <w:jc w:val="center"/>
              <w:rPr>
                <w:rFonts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18</w:t>
            </w:r>
          </w:p>
        </w:tc>
        <w:tc>
          <w:tcPr>
            <w:tcW w:w="9234" w:type="dxa"/>
            <w:gridSpan w:val="4"/>
            <w:tcBorders>
              <w:tl2br w:val="nil"/>
              <w:tr2bl w:val="nil"/>
            </w:tcBorders>
            <w:shd w:val="clear" w:color="auto" w:fill="auto"/>
            <w:vAlign w:val="center"/>
          </w:tcPr>
          <w:p w14:paraId="08713D34">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使用年限≥ </w:t>
            </w:r>
            <w:bookmarkStart w:id="0" w:name="_GoBack"/>
            <w:bookmarkEnd w:id="0"/>
            <w:r>
              <w:rPr>
                <w:rFonts w:hint="eastAsia" w:ascii="仿宋_GB2312" w:hAnsi="宋体" w:eastAsia="仿宋_GB2312" w:cs="宋体"/>
                <w:kern w:val="0"/>
                <w:sz w:val="28"/>
                <w:szCs w:val="28"/>
              </w:rPr>
              <w:t>7年，提供铭牌或说明书证明</w:t>
            </w:r>
          </w:p>
        </w:tc>
        <w:tc>
          <w:tcPr>
            <w:tcW w:w="796" w:type="dxa"/>
            <w:tcBorders>
              <w:tl2br w:val="nil"/>
              <w:tr2bl w:val="nil"/>
            </w:tcBorders>
            <w:shd w:val="clear" w:color="auto" w:fill="auto"/>
            <w:vAlign w:val="center"/>
          </w:tcPr>
          <w:p w14:paraId="693D4D15">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43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9" w:type="dxa"/>
            <w:tcBorders>
              <w:tl2br w:val="nil"/>
              <w:tr2bl w:val="nil"/>
            </w:tcBorders>
            <w:shd w:val="clear" w:color="auto" w:fill="auto"/>
            <w:vAlign w:val="center"/>
          </w:tcPr>
          <w:p w14:paraId="73846B89">
            <w:pPr>
              <w:widowControl/>
              <w:adjustRightInd w:val="0"/>
              <w:snapToGrid w:val="0"/>
              <w:jc w:val="center"/>
              <w:rPr>
                <w:rFonts w:ascii="仿宋_GB2312" w:hAnsi="宋体" w:eastAsia="仿宋_GB2312" w:cs="宋体"/>
                <w:bCs/>
                <w:color w:val="FF0000"/>
                <w:kern w:val="0"/>
                <w:sz w:val="28"/>
                <w:szCs w:val="28"/>
                <w:lang w:val="en-US" w:eastAsia="zh-CN" w:bidi="ar-SA"/>
              </w:rPr>
            </w:pPr>
            <w:r>
              <w:rPr>
                <w:rFonts w:hint="eastAsia" w:ascii="仿宋_GB2312" w:hAnsi="宋体" w:eastAsia="仿宋_GB2312" w:cs="宋体"/>
                <w:bCs/>
                <w:kern w:val="0"/>
                <w:sz w:val="28"/>
                <w:szCs w:val="28"/>
              </w:rPr>
              <w:t>19</w:t>
            </w:r>
          </w:p>
        </w:tc>
        <w:tc>
          <w:tcPr>
            <w:tcW w:w="9234" w:type="dxa"/>
            <w:gridSpan w:val="4"/>
            <w:tcBorders>
              <w:tl2br w:val="nil"/>
              <w:tr2bl w:val="nil"/>
            </w:tcBorders>
            <w:shd w:val="clear" w:color="auto" w:fill="auto"/>
            <w:vAlign w:val="center"/>
          </w:tcPr>
          <w:p w14:paraId="7C9D7B15">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提供详细配置清单及分项报价(含名称、品牌、规格型号、数量、单价)</w:t>
            </w:r>
          </w:p>
        </w:tc>
        <w:tc>
          <w:tcPr>
            <w:tcW w:w="796" w:type="dxa"/>
            <w:tcBorders>
              <w:tl2br w:val="nil"/>
              <w:tr2bl w:val="nil"/>
            </w:tcBorders>
            <w:shd w:val="clear" w:color="auto" w:fill="auto"/>
            <w:vAlign w:val="center"/>
          </w:tcPr>
          <w:p w14:paraId="5416A05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746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49" w:type="dxa"/>
            <w:tcBorders>
              <w:tl2br w:val="nil"/>
              <w:tr2bl w:val="nil"/>
            </w:tcBorders>
            <w:shd w:val="clear" w:color="auto" w:fill="auto"/>
            <w:vAlign w:val="center"/>
          </w:tcPr>
          <w:p w14:paraId="338682E0">
            <w:pPr>
              <w:widowControl/>
              <w:adjustRightInd w:val="0"/>
              <w:snapToGrid w:val="0"/>
              <w:jc w:val="center"/>
              <w:rPr>
                <w:rFonts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20</w:t>
            </w:r>
          </w:p>
        </w:tc>
        <w:tc>
          <w:tcPr>
            <w:tcW w:w="9234" w:type="dxa"/>
            <w:gridSpan w:val="4"/>
            <w:tcBorders>
              <w:tl2br w:val="nil"/>
              <w:tr2bl w:val="nil"/>
            </w:tcBorders>
            <w:shd w:val="clear" w:color="auto" w:fill="auto"/>
            <w:vAlign w:val="center"/>
          </w:tcPr>
          <w:p w14:paraId="31AD1E62">
            <w:pPr>
              <w:widowControl/>
              <w:adjustRightInd w:val="0"/>
              <w:snapToGrid w:val="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796" w:type="dxa"/>
            <w:tcBorders>
              <w:tl2br w:val="nil"/>
              <w:tr2bl w:val="nil"/>
            </w:tcBorders>
            <w:shd w:val="clear" w:color="auto" w:fill="auto"/>
            <w:vAlign w:val="center"/>
          </w:tcPr>
          <w:p w14:paraId="40188E12">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128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49" w:type="dxa"/>
            <w:tcBorders>
              <w:tl2br w:val="nil"/>
              <w:tr2bl w:val="nil"/>
            </w:tcBorders>
            <w:shd w:val="clear" w:color="auto" w:fill="auto"/>
            <w:vAlign w:val="center"/>
          </w:tcPr>
          <w:p w14:paraId="17826E68">
            <w:pPr>
              <w:widowControl/>
              <w:adjustRightInd w:val="0"/>
              <w:snapToGrid w:val="0"/>
              <w:jc w:val="center"/>
              <w:rPr>
                <w:rFonts w:hint="default"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21</w:t>
            </w:r>
          </w:p>
        </w:tc>
        <w:tc>
          <w:tcPr>
            <w:tcW w:w="9234" w:type="dxa"/>
            <w:gridSpan w:val="4"/>
            <w:tcBorders>
              <w:tl2br w:val="nil"/>
              <w:tr2bl w:val="nil"/>
            </w:tcBorders>
            <w:shd w:val="clear" w:color="auto" w:fill="auto"/>
          </w:tcPr>
          <w:p w14:paraId="3D1D4502">
            <w:pPr>
              <w:pStyle w:val="16"/>
              <w:widowControl/>
              <w:adjustRightInd w:val="0"/>
              <w:snapToGrid w:val="0"/>
              <w:spacing w:line="240" w:lineRule="atLeast"/>
              <w:rPr>
                <w:rFonts w:ascii="仿宋_GB2312" w:hAnsi="宋体" w:eastAsia="仿宋_GB2312" w:cs="宋体"/>
                <w:bCs/>
                <w:kern w:val="0"/>
                <w:sz w:val="28"/>
                <w:szCs w:val="28"/>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796" w:type="dxa"/>
            <w:tcBorders>
              <w:tl2br w:val="nil"/>
              <w:tr2bl w:val="nil"/>
            </w:tcBorders>
            <w:shd w:val="clear" w:color="auto" w:fill="auto"/>
            <w:vAlign w:val="center"/>
          </w:tcPr>
          <w:p w14:paraId="038BB4A6">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F60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tcBorders>
              <w:tl2br w:val="nil"/>
              <w:tr2bl w:val="nil"/>
            </w:tcBorders>
            <w:shd w:val="clear" w:color="auto" w:fill="auto"/>
            <w:vAlign w:val="center"/>
          </w:tcPr>
          <w:p w14:paraId="7074D3CF">
            <w:pPr>
              <w:widowControl/>
              <w:adjustRightInd w:val="0"/>
              <w:snapToGrid w:val="0"/>
              <w:spacing w:line="240" w:lineRule="atLeas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三</w:t>
            </w:r>
          </w:p>
        </w:tc>
        <w:tc>
          <w:tcPr>
            <w:tcW w:w="9234" w:type="dxa"/>
            <w:gridSpan w:val="4"/>
            <w:tcBorders>
              <w:tl2br w:val="nil"/>
              <w:tr2bl w:val="nil"/>
            </w:tcBorders>
            <w:shd w:val="clear" w:color="auto" w:fill="auto"/>
            <w:vAlign w:val="center"/>
          </w:tcPr>
          <w:p w14:paraId="3AF5AA8D">
            <w:pPr>
              <w:widowControl/>
              <w:adjustRightInd w:val="0"/>
              <w:snapToGrid w:val="0"/>
              <w:spacing w:line="240" w:lineRule="atLeas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售后服务</w:t>
            </w:r>
          </w:p>
        </w:tc>
        <w:tc>
          <w:tcPr>
            <w:tcW w:w="796" w:type="dxa"/>
            <w:tcBorders>
              <w:tl2br w:val="nil"/>
              <w:tr2bl w:val="nil"/>
            </w:tcBorders>
            <w:shd w:val="clear" w:color="auto" w:fill="auto"/>
            <w:vAlign w:val="center"/>
          </w:tcPr>
          <w:p w14:paraId="252854F0">
            <w:pPr>
              <w:widowControl/>
              <w:adjustRightInd w:val="0"/>
              <w:snapToGrid w:val="0"/>
              <w:spacing w:line="240" w:lineRule="atLeast"/>
              <w:jc w:val="center"/>
              <w:rPr>
                <w:rFonts w:ascii="仿宋_GB2312" w:hAnsi="宋体" w:eastAsia="仿宋_GB2312" w:cs="宋体"/>
                <w:kern w:val="0"/>
                <w:sz w:val="28"/>
                <w:szCs w:val="28"/>
              </w:rPr>
            </w:pPr>
          </w:p>
        </w:tc>
      </w:tr>
      <w:tr w14:paraId="69BB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tcBorders>
              <w:tl2br w:val="nil"/>
              <w:tr2bl w:val="nil"/>
            </w:tcBorders>
            <w:shd w:val="clear" w:color="auto" w:fill="auto"/>
            <w:vAlign w:val="center"/>
          </w:tcPr>
          <w:p w14:paraId="64B4B993">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w:t>
            </w:r>
          </w:p>
        </w:tc>
        <w:tc>
          <w:tcPr>
            <w:tcW w:w="9234" w:type="dxa"/>
            <w:gridSpan w:val="4"/>
            <w:tcBorders>
              <w:tl2br w:val="nil"/>
              <w:tr2bl w:val="nil"/>
            </w:tcBorders>
            <w:shd w:val="clear" w:color="auto" w:fill="auto"/>
            <w:vAlign w:val="center"/>
          </w:tcPr>
          <w:p w14:paraId="68CD4DCA">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整机质保期≥3</w:t>
            </w:r>
            <w:r>
              <w:rPr>
                <w:rFonts w:ascii="仿宋_GB2312" w:hAnsi="宋体" w:eastAsia="仿宋_GB2312" w:cs="宋体"/>
                <w:kern w:val="0"/>
                <w:sz w:val="28"/>
                <w:szCs w:val="28"/>
              </w:rPr>
              <w:t>年，在质保期内每年由维修工程师提供至少</w:t>
            </w:r>
            <w:r>
              <w:rPr>
                <w:rFonts w:hint="eastAsia" w:ascii="仿宋_GB2312" w:hAnsi="宋体" w:eastAsia="仿宋_GB2312" w:cs="宋体"/>
                <w:kern w:val="0"/>
                <w:sz w:val="28"/>
                <w:szCs w:val="28"/>
              </w:rPr>
              <w:t>4</w:t>
            </w:r>
            <w:r>
              <w:rPr>
                <w:rFonts w:ascii="仿宋_GB2312" w:hAnsi="宋体" w:eastAsia="仿宋_GB2312" w:cs="宋体"/>
                <w:kern w:val="0"/>
                <w:sz w:val="28"/>
                <w:szCs w:val="28"/>
              </w:rPr>
              <w:t>次的上门维护保养工作</w:t>
            </w:r>
            <w:r>
              <w:rPr>
                <w:rFonts w:hint="eastAsia" w:ascii="仿宋_GB2312" w:hAnsi="宋体" w:eastAsia="仿宋_GB2312" w:cs="宋体"/>
                <w:kern w:val="0"/>
                <w:sz w:val="28"/>
                <w:szCs w:val="28"/>
              </w:rPr>
              <w:t>，并根据医院要求提供相应记录</w:t>
            </w:r>
          </w:p>
        </w:tc>
        <w:tc>
          <w:tcPr>
            <w:tcW w:w="796" w:type="dxa"/>
            <w:tcBorders>
              <w:tl2br w:val="nil"/>
              <w:tr2bl w:val="nil"/>
            </w:tcBorders>
            <w:shd w:val="clear" w:color="auto" w:fill="auto"/>
            <w:vAlign w:val="center"/>
          </w:tcPr>
          <w:p w14:paraId="17D28293">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E9A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tcBorders>
              <w:tl2br w:val="nil"/>
              <w:tr2bl w:val="nil"/>
            </w:tcBorders>
            <w:shd w:val="clear" w:color="auto" w:fill="auto"/>
            <w:vAlign w:val="center"/>
          </w:tcPr>
          <w:p w14:paraId="7AB32FB0">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2</w:t>
            </w:r>
          </w:p>
        </w:tc>
        <w:tc>
          <w:tcPr>
            <w:tcW w:w="9234" w:type="dxa"/>
            <w:gridSpan w:val="4"/>
            <w:tcBorders>
              <w:tl2br w:val="nil"/>
              <w:tr2bl w:val="nil"/>
            </w:tcBorders>
            <w:shd w:val="clear" w:color="auto" w:fill="auto"/>
            <w:vAlign w:val="center"/>
          </w:tcPr>
          <w:p w14:paraId="4F69FAE6">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中标后，</w:t>
            </w:r>
            <w:r>
              <w:rPr>
                <w:rFonts w:ascii="仿宋_GB2312" w:hAnsi="宋体" w:eastAsia="仿宋_GB2312" w:cs="宋体"/>
                <w:kern w:val="0"/>
                <w:sz w:val="28"/>
                <w:szCs w:val="28"/>
              </w:rPr>
              <w:t>提供厂家保修承诺</w:t>
            </w:r>
          </w:p>
        </w:tc>
        <w:tc>
          <w:tcPr>
            <w:tcW w:w="796" w:type="dxa"/>
            <w:tcBorders>
              <w:tl2br w:val="nil"/>
              <w:tr2bl w:val="nil"/>
            </w:tcBorders>
            <w:shd w:val="clear" w:color="auto" w:fill="auto"/>
            <w:vAlign w:val="center"/>
          </w:tcPr>
          <w:p w14:paraId="52137565">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EE2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tcBorders>
              <w:tl2br w:val="nil"/>
              <w:tr2bl w:val="nil"/>
            </w:tcBorders>
            <w:shd w:val="clear" w:color="auto" w:fill="auto"/>
            <w:vAlign w:val="center"/>
          </w:tcPr>
          <w:p w14:paraId="646AFC2F">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3</w:t>
            </w:r>
          </w:p>
        </w:tc>
        <w:tc>
          <w:tcPr>
            <w:tcW w:w="9234" w:type="dxa"/>
            <w:gridSpan w:val="4"/>
            <w:tcBorders>
              <w:tl2br w:val="nil"/>
              <w:tr2bl w:val="nil"/>
            </w:tcBorders>
            <w:shd w:val="clear" w:color="auto" w:fill="auto"/>
            <w:vAlign w:val="center"/>
          </w:tcPr>
          <w:p w14:paraId="02B16302">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中标方应对设备操作及维修人员进行操作及维修培训，直至技术人员熟练掌握使用及维修技能为止，提供详细培训记录</w:t>
            </w:r>
            <w:r>
              <w:rPr>
                <w:rFonts w:ascii="仿宋_GB2312" w:hAnsi="宋体" w:eastAsia="仿宋_GB2312" w:cs="宋体"/>
                <w:kern w:val="0"/>
                <w:sz w:val="28"/>
                <w:szCs w:val="28"/>
              </w:rPr>
              <w:t>,提供设备设计使用寿命</w:t>
            </w:r>
          </w:p>
        </w:tc>
        <w:tc>
          <w:tcPr>
            <w:tcW w:w="796" w:type="dxa"/>
            <w:tcBorders>
              <w:tl2br w:val="nil"/>
              <w:tr2bl w:val="nil"/>
            </w:tcBorders>
            <w:shd w:val="clear" w:color="auto" w:fill="auto"/>
            <w:vAlign w:val="center"/>
          </w:tcPr>
          <w:p w14:paraId="6332903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B85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tcBorders>
              <w:tl2br w:val="nil"/>
              <w:tr2bl w:val="nil"/>
            </w:tcBorders>
            <w:shd w:val="clear" w:color="auto" w:fill="auto"/>
            <w:vAlign w:val="center"/>
          </w:tcPr>
          <w:p w14:paraId="6FEADE95">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4</w:t>
            </w:r>
          </w:p>
        </w:tc>
        <w:tc>
          <w:tcPr>
            <w:tcW w:w="9234" w:type="dxa"/>
            <w:gridSpan w:val="4"/>
            <w:tcBorders>
              <w:tl2br w:val="nil"/>
              <w:tr2bl w:val="nil"/>
            </w:tcBorders>
            <w:shd w:val="clear" w:color="auto" w:fill="auto"/>
            <w:vAlign w:val="center"/>
          </w:tcPr>
          <w:p w14:paraId="0880B29A">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维修保障：中标方应提供中文说明书、操作手册、详细维修手册、整机线路图、系统安装软件及维修密码，软件终身免费升级</w:t>
            </w:r>
          </w:p>
        </w:tc>
        <w:tc>
          <w:tcPr>
            <w:tcW w:w="796" w:type="dxa"/>
            <w:tcBorders>
              <w:tl2br w:val="nil"/>
              <w:tr2bl w:val="nil"/>
            </w:tcBorders>
            <w:shd w:val="clear" w:color="auto" w:fill="auto"/>
            <w:vAlign w:val="center"/>
          </w:tcPr>
          <w:p w14:paraId="0CD3A367">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3C4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tcBorders>
              <w:tl2br w:val="nil"/>
              <w:tr2bl w:val="nil"/>
            </w:tcBorders>
            <w:shd w:val="clear" w:color="auto" w:fill="auto"/>
            <w:vAlign w:val="center"/>
          </w:tcPr>
          <w:p w14:paraId="65D83963">
            <w:pPr>
              <w:widowControl/>
              <w:adjustRightInd w:val="0"/>
              <w:snapToGrid w:val="0"/>
              <w:spacing w:line="240" w:lineRule="atLeast"/>
              <w:jc w:val="center"/>
              <w:rPr>
                <w:rFonts w:ascii="仿宋_GB2312" w:hAnsi="宋体" w:eastAsia="仿宋_GB2312" w:cs="宋体"/>
                <w:kern w:val="0"/>
                <w:sz w:val="28"/>
                <w:szCs w:val="28"/>
              </w:rPr>
            </w:pPr>
            <w:r>
              <w:rPr>
                <w:rFonts w:ascii="仿宋_GB2312" w:hAnsi="宋体" w:eastAsia="仿宋_GB2312" w:cs="宋体"/>
                <w:kern w:val="0"/>
                <w:sz w:val="28"/>
                <w:szCs w:val="28"/>
              </w:rPr>
              <w:t>5</w:t>
            </w:r>
          </w:p>
        </w:tc>
        <w:tc>
          <w:tcPr>
            <w:tcW w:w="9234" w:type="dxa"/>
            <w:gridSpan w:val="4"/>
            <w:tcBorders>
              <w:tl2br w:val="nil"/>
              <w:tr2bl w:val="nil"/>
            </w:tcBorders>
            <w:shd w:val="clear" w:color="auto" w:fill="auto"/>
            <w:vAlign w:val="center"/>
          </w:tcPr>
          <w:p w14:paraId="61FA9AB5">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一个月内非人为质量问题提供换货。设备出现故障时</w:t>
            </w:r>
            <w:r>
              <w:rPr>
                <w:rFonts w:ascii="仿宋_GB2312" w:hAnsi="宋体" w:eastAsia="仿宋_GB2312" w:cs="宋体"/>
                <w:kern w:val="0"/>
                <w:sz w:val="28"/>
                <w:szCs w:val="28"/>
              </w:rPr>
              <w:t>2个小时内</w:t>
            </w:r>
            <w:r>
              <w:rPr>
                <w:rFonts w:hint="eastAsia" w:ascii="仿宋_GB2312" w:hAnsi="宋体" w:eastAsia="仿宋_GB2312" w:cs="宋体"/>
                <w:kern w:val="0"/>
                <w:sz w:val="28"/>
                <w:szCs w:val="28"/>
              </w:rPr>
              <w:t>响应</w:t>
            </w:r>
            <w:r>
              <w:rPr>
                <w:rFonts w:ascii="仿宋_GB2312" w:hAnsi="宋体" w:eastAsia="仿宋_GB2312" w:cs="宋体"/>
                <w:kern w:val="0"/>
                <w:sz w:val="28"/>
                <w:szCs w:val="28"/>
              </w:rPr>
              <w:t>，6小时内提供维修方案及报价，24小时内到达现场，郑州有常驻工程师，提供工程师姓名及联系方式</w:t>
            </w:r>
          </w:p>
        </w:tc>
        <w:tc>
          <w:tcPr>
            <w:tcW w:w="796" w:type="dxa"/>
            <w:tcBorders>
              <w:tl2br w:val="nil"/>
              <w:tr2bl w:val="nil"/>
            </w:tcBorders>
            <w:shd w:val="clear" w:color="auto" w:fill="auto"/>
            <w:vAlign w:val="center"/>
          </w:tcPr>
          <w:p w14:paraId="5F44888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FD5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tcBorders>
              <w:tl2br w:val="nil"/>
              <w:tr2bl w:val="nil"/>
            </w:tcBorders>
            <w:shd w:val="clear" w:color="auto" w:fill="auto"/>
            <w:vAlign w:val="center"/>
          </w:tcPr>
          <w:p w14:paraId="1FBFD2BC">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9234" w:type="dxa"/>
            <w:gridSpan w:val="4"/>
            <w:tcBorders>
              <w:tl2br w:val="nil"/>
              <w:tr2bl w:val="nil"/>
            </w:tcBorders>
            <w:shd w:val="clear" w:color="auto" w:fill="auto"/>
            <w:vAlign w:val="center"/>
          </w:tcPr>
          <w:p w14:paraId="0D434F87">
            <w:pPr>
              <w:widowControl/>
              <w:adjustRightInd w:val="0"/>
              <w:snapToGrid w:val="0"/>
              <w:spacing w:line="240" w:lineRule="atLeas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到货时间：合同签订后30日历天内</w:t>
            </w:r>
          </w:p>
        </w:tc>
        <w:tc>
          <w:tcPr>
            <w:tcW w:w="796" w:type="dxa"/>
            <w:tcBorders>
              <w:tl2br w:val="nil"/>
              <w:tr2bl w:val="nil"/>
            </w:tcBorders>
            <w:shd w:val="clear" w:color="auto" w:fill="auto"/>
            <w:vAlign w:val="center"/>
          </w:tcPr>
          <w:p w14:paraId="0B046A3B">
            <w:pPr>
              <w:widowControl/>
              <w:adjustRightInd w:val="0"/>
              <w:snapToGrid w:val="0"/>
              <w:spacing w:line="240" w:lineRule="atLeas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F70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52" w:type="dxa"/>
            <w:gridSpan w:val="2"/>
            <w:tcBorders>
              <w:tl2br w:val="nil"/>
              <w:tr2bl w:val="nil"/>
            </w:tcBorders>
            <w:vAlign w:val="center"/>
          </w:tcPr>
          <w:p w14:paraId="4B0437FD">
            <w:pPr>
              <w:adjustRightInd w:val="0"/>
              <w:snapToGrid w:val="0"/>
              <w:spacing w:line="240" w:lineRule="atLeast"/>
              <w:jc w:val="center"/>
              <w:rPr>
                <w:rFonts w:hint="eastAsia" w:ascii="仿宋_GB2312" w:eastAsia="仿宋_GB2312"/>
                <w:b/>
                <w:sz w:val="28"/>
                <w:szCs w:val="28"/>
              </w:rPr>
            </w:pPr>
            <w:r>
              <w:rPr>
                <w:rFonts w:hint="eastAsia" w:ascii="仿宋_GB2312" w:eastAsia="仿宋_GB2312"/>
                <w:b/>
                <w:sz w:val="28"/>
                <w:szCs w:val="28"/>
              </w:rPr>
              <w:t>申请部门</w:t>
            </w:r>
          </w:p>
          <w:p w14:paraId="57734A59">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负责人</w:t>
            </w:r>
          </w:p>
        </w:tc>
        <w:tc>
          <w:tcPr>
            <w:tcW w:w="3625" w:type="dxa"/>
            <w:tcBorders>
              <w:tl2br w:val="nil"/>
              <w:tr2bl w:val="nil"/>
            </w:tcBorders>
            <w:vAlign w:val="bottom"/>
          </w:tcPr>
          <w:p w14:paraId="1AF20671">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2067" w:type="dxa"/>
            <w:tcBorders>
              <w:tl2br w:val="nil"/>
              <w:tr2bl w:val="nil"/>
            </w:tcBorders>
            <w:vAlign w:val="center"/>
          </w:tcPr>
          <w:p w14:paraId="416C74B4">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审核小组</w:t>
            </w:r>
          </w:p>
          <w:p w14:paraId="1ED0EDAD">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签字</w:t>
            </w:r>
          </w:p>
        </w:tc>
        <w:tc>
          <w:tcPr>
            <w:tcW w:w="3835" w:type="dxa"/>
            <w:gridSpan w:val="2"/>
            <w:tcBorders>
              <w:tl2br w:val="nil"/>
              <w:tr2bl w:val="nil"/>
            </w:tcBorders>
            <w:vAlign w:val="bottom"/>
          </w:tcPr>
          <w:p w14:paraId="02080F0D">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r w14:paraId="64FB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652" w:type="dxa"/>
            <w:gridSpan w:val="2"/>
            <w:tcBorders>
              <w:tl2br w:val="nil"/>
              <w:tr2bl w:val="nil"/>
            </w:tcBorders>
            <w:vAlign w:val="center"/>
          </w:tcPr>
          <w:p w14:paraId="06E558DD">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医学装备部</w:t>
            </w:r>
          </w:p>
          <w:p w14:paraId="2BB0CC5E">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主任</w:t>
            </w:r>
          </w:p>
        </w:tc>
        <w:tc>
          <w:tcPr>
            <w:tcW w:w="3625" w:type="dxa"/>
            <w:tcBorders>
              <w:tl2br w:val="nil"/>
              <w:tr2bl w:val="nil"/>
            </w:tcBorders>
            <w:vAlign w:val="bottom"/>
          </w:tcPr>
          <w:p w14:paraId="3152B206">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c>
          <w:tcPr>
            <w:tcW w:w="2067" w:type="dxa"/>
            <w:tcBorders>
              <w:tl2br w:val="nil"/>
              <w:tr2bl w:val="nil"/>
            </w:tcBorders>
            <w:vAlign w:val="center"/>
          </w:tcPr>
          <w:p w14:paraId="49652146">
            <w:pPr>
              <w:adjustRightInd w:val="0"/>
              <w:snapToGrid w:val="0"/>
              <w:spacing w:line="240" w:lineRule="atLeast"/>
              <w:jc w:val="center"/>
              <w:rPr>
                <w:rFonts w:ascii="仿宋_GB2312" w:eastAsia="仿宋_GB2312"/>
                <w:b/>
                <w:sz w:val="28"/>
                <w:szCs w:val="28"/>
              </w:rPr>
            </w:pPr>
            <w:r>
              <w:rPr>
                <w:rFonts w:hint="eastAsia" w:ascii="仿宋_GB2312" w:eastAsia="仿宋_GB2312"/>
                <w:b/>
                <w:sz w:val="28"/>
                <w:szCs w:val="28"/>
              </w:rPr>
              <w:t>主管领导审批</w:t>
            </w:r>
          </w:p>
        </w:tc>
        <w:tc>
          <w:tcPr>
            <w:tcW w:w="3835" w:type="dxa"/>
            <w:gridSpan w:val="2"/>
            <w:tcBorders>
              <w:tl2br w:val="nil"/>
              <w:tr2bl w:val="nil"/>
            </w:tcBorders>
            <w:vAlign w:val="bottom"/>
          </w:tcPr>
          <w:p w14:paraId="15FD7462">
            <w:pPr>
              <w:adjustRightInd w:val="0"/>
              <w:snapToGrid w:val="0"/>
              <w:spacing w:line="240" w:lineRule="atLeast"/>
              <w:jc w:val="right"/>
              <w:rPr>
                <w:rFonts w:ascii="仿宋_GB2312" w:eastAsia="仿宋_GB2312"/>
                <w:b/>
                <w:sz w:val="20"/>
                <w:szCs w:val="28"/>
              </w:rPr>
            </w:pPr>
          </w:p>
          <w:p w14:paraId="434C904F">
            <w:pPr>
              <w:adjustRightInd w:val="0"/>
              <w:snapToGrid w:val="0"/>
              <w:spacing w:line="240" w:lineRule="atLeast"/>
              <w:jc w:val="right"/>
              <w:rPr>
                <w:rFonts w:ascii="仿宋_GB2312" w:eastAsia="仿宋_GB2312"/>
                <w:b/>
                <w:sz w:val="20"/>
                <w:szCs w:val="28"/>
              </w:rPr>
            </w:pPr>
            <w:r>
              <w:rPr>
                <w:rFonts w:hint="eastAsia" w:ascii="仿宋_GB2312" w:eastAsia="仿宋_GB2312"/>
                <w:b/>
                <w:sz w:val="20"/>
                <w:szCs w:val="28"/>
              </w:rPr>
              <w:t>（签字、日期）</w:t>
            </w:r>
          </w:p>
        </w:tc>
      </w:tr>
    </w:tbl>
    <w:p w14:paraId="759991CC">
      <w:pPr>
        <w:jc w:val="right"/>
      </w:pPr>
      <w:r>
        <w:rPr>
          <w:rFonts w:hint="eastAsia" w:ascii="仿宋_GB2312" w:eastAsia="仿宋_GB2312"/>
          <w:sz w:val="22"/>
          <w:szCs w:val="28"/>
        </w:rPr>
        <w:t>以上参数经科室签字即视为同意，能够满足临床科室需求</w:t>
      </w:r>
    </w:p>
    <w:p w14:paraId="578ED13C"/>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宋?">
    <w:altName w:val="宋体"/>
    <w:panose1 w:val="00000000000000000000"/>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1ZjhhYzZhYzEwMTcwNzg0MzBiM2QwM2ZjYWMwZTkifQ=="/>
  </w:docVars>
  <w:rsids>
    <w:rsidRoot w:val="00494D89"/>
    <w:rsid w:val="00015792"/>
    <w:rsid w:val="00032B59"/>
    <w:rsid w:val="001D022C"/>
    <w:rsid w:val="001F372E"/>
    <w:rsid w:val="002074B8"/>
    <w:rsid w:val="00291DB0"/>
    <w:rsid w:val="002B18E8"/>
    <w:rsid w:val="003D2E7B"/>
    <w:rsid w:val="003F131E"/>
    <w:rsid w:val="00400A46"/>
    <w:rsid w:val="00494D89"/>
    <w:rsid w:val="00506C6E"/>
    <w:rsid w:val="0051319E"/>
    <w:rsid w:val="006368E7"/>
    <w:rsid w:val="006D4EF9"/>
    <w:rsid w:val="007F3356"/>
    <w:rsid w:val="007F78FD"/>
    <w:rsid w:val="00826CD3"/>
    <w:rsid w:val="008A7645"/>
    <w:rsid w:val="00907580"/>
    <w:rsid w:val="00920DC2"/>
    <w:rsid w:val="009C64E7"/>
    <w:rsid w:val="00A941DF"/>
    <w:rsid w:val="00AE7A5B"/>
    <w:rsid w:val="00AF0537"/>
    <w:rsid w:val="00AF634C"/>
    <w:rsid w:val="00B935D4"/>
    <w:rsid w:val="00B94CE0"/>
    <w:rsid w:val="00CB7DA6"/>
    <w:rsid w:val="00EB0F83"/>
    <w:rsid w:val="00EF5938"/>
    <w:rsid w:val="00F256BA"/>
    <w:rsid w:val="020049A6"/>
    <w:rsid w:val="0354720E"/>
    <w:rsid w:val="03FE1CC1"/>
    <w:rsid w:val="04222679"/>
    <w:rsid w:val="05031C1C"/>
    <w:rsid w:val="05263B41"/>
    <w:rsid w:val="08025B69"/>
    <w:rsid w:val="087300BA"/>
    <w:rsid w:val="0A7D7D7B"/>
    <w:rsid w:val="0B774EE9"/>
    <w:rsid w:val="0BB97ABA"/>
    <w:rsid w:val="0C64416F"/>
    <w:rsid w:val="0D9C49BC"/>
    <w:rsid w:val="0DE62D52"/>
    <w:rsid w:val="0E0B3702"/>
    <w:rsid w:val="0E533AD6"/>
    <w:rsid w:val="0E99589D"/>
    <w:rsid w:val="0EED5D8F"/>
    <w:rsid w:val="0F423341"/>
    <w:rsid w:val="0F846809"/>
    <w:rsid w:val="11E23348"/>
    <w:rsid w:val="12336C2A"/>
    <w:rsid w:val="12B53D67"/>
    <w:rsid w:val="1305402E"/>
    <w:rsid w:val="130E14F3"/>
    <w:rsid w:val="14FB3079"/>
    <w:rsid w:val="161D64B1"/>
    <w:rsid w:val="164A0972"/>
    <w:rsid w:val="174560C4"/>
    <w:rsid w:val="175005C5"/>
    <w:rsid w:val="1833416F"/>
    <w:rsid w:val="18E477DD"/>
    <w:rsid w:val="18ED07C2"/>
    <w:rsid w:val="19087626"/>
    <w:rsid w:val="1A6766EC"/>
    <w:rsid w:val="1AE923ED"/>
    <w:rsid w:val="1B91011E"/>
    <w:rsid w:val="1C00080C"/>
    <w:rsid w:val="1C482DBB"/>
    <w:rsid w:val="1C7D2A89"/>
    <w:rsid w:val="1CF64F85"/>
    <w:rsid w:val="1E240AE4"/>
    <w:rsid w:val="1F911883"/>
    <w:rsid w:val="20415352"/>
    <w:rsid w:val="20467344"/>
    <w:rsid w:val="20FD2F21"/>
    <w:rsid w:val="21300DC9"/>
    <w:rsid w:val="21323320"/>
    <w:rsid w:val="213B1757"/>
    <w:rsid w:val="215853C8"/>
    <w:rsid w:val="22730A03"/>
    <w:rsid w:val="22E20923"/>
    <w:rsid w:val="22EC33A3"/>
    <w:rsid w:val="23FA6932"/>
    <w:rsid w:val="244B0C37"/>
    <w:rsid w:val="24C32E20"/>
    <w:rsid w:val="268B7DD6"/>
    <w:rsid w:val="27B95822"/>
    <w:rsid w:val="27DF07CF"/>
    <w:rsid w:val="297B11D3"/>
    <w:rsid w:val="2A24305C"/>
    <w:rsid w:val="2B536BAA"/>
    <w:rsid w:val="2B977EA0"/>
    <w:rsid w:val="2C147CBD"/>
    <w:rsid w:val="2D7B489E"/>
    <w:rsid w:val="2DE126AD"/>
    <w:rsid w:val="2E1E6F17"/>
    <w:rsid w:val="2E622742"/>
    <w:rsid w:val="2F6B5583"/>
    <w:rsid w:val="2FE92F84"/>
    <w:rsid w:val="31DA4EC0"/>
    <w:rsid w:val="320075E5"/>
    <w:rsid w:val="33160564"/>
    <w:rsid w:val="331B4B5C"/>
    <w:rsid w:val="33D11691"/>
    <w:rsid w:val="35DB08A2"/>
    <w:rsid w:val="362939CA"/>
    <w:rsid w:val="36317A9C"/>
    <w:rsid w:val="36E5036B"/>
    <w:rsid w:val="376502E9"/>
    <w:rsid w:val="37C66863"/>
    <w:rsid w:val="38BF6FE6"/>
    <w:rsid w:val="3A26548A"/>
    <w:rsid w:val="3A4A02C3"/>
    <w:rsid w:val="3BF16B86"/>
    <w:rsid w:val="3DA51843"/>
    <w:rsid w:val="3E815385"/>
    <w:rsid w:val="3F9F76AF"/>
    <w:rsid w:val="3FFE4CF7"/>
    <w:rsid w:val="40E906E2"/>
    <w:rsid w:val="421648F6"/>
    <w:rsid w:val="4267488A"/>
    <w:rsid w:val="43B55CF6"/>
    <w:rsid w:val="4665558C"/>
    <w:rsid w:val="46963997"/>
    <w:rsid w:val="46F73B58"/>
    <w:rsid w:val="4733065F"/>
    <w:rsid w:val="482B2B78"/>
    <w:rsid w:val="48BE1805"/>
    <w:rsid w:val="48DF16A7"/>
    <w:rsid w:val="48F20F05"/>
    <w:rsid w:val="49D94C98"/>
    <w:rsid w:val="4B5913DF"/>
    <w:rsid w:val="4C125AF3"/>
    <w:rsid w:val="4C6D08B6"/>
    <w:rsid w:val="4CC96130"/>
    <w:rsid w:val="4E4C5BDD"/>
    <w:rsid w:val="4EA824BA"/>
    <w:rsid w:val="4F3363AF"/>
    <w:rsid w:val="4FB223C9"/>
    <w:rsid w:val="4FC56D1D"/>
    <w:rsid w:val="507A61E1"/>
    <w:rsid w:val="50F36E1F"/>
    <w:rsid w:val="50F90C31"/>
    <w:rsid w:val="51AB25FA"/>
    <w:rsid w:val="51C469DE"/>
    <w:rsid w:val="51D747C1"/>
    <w:rsid w:val="54EB3966"/>
    <w:rsid w:val="560C77D2"/>
    <w:rsid w:val="56F61B30"/>
    <w:rsid w:val="5773045C"/>
    <w:rsid w:val="5A7D7639"/>
    <w:rsid w:val="5B5A27F8"/>
    <w:rsid w:val="5BB57130"/>
    <w:rsid w:val="5D5C57F9"/>
    <w:rsid w:val="606B289E"/>
    <w:rsid w:val="613F6CAD"/>
    <w:rsid w:val="61417189"/>
    <w:rsid w:val="623A1223"/>
    <w:rsid w:val="62E15CB8"/>
    <w:rsid w:val="64A73954"/>
    <w:rsid w:val="64D61F75"/>
    <w:rsid w:val="65214DA4"/>
    <w:rsid w:val="6546141F"/>
    <w:rsid w:val="662446C4"/>
    <w:rsid w:val="669D1BD8"/>
    <w:rsid w:val="67325677"/>
    <w:rsid w:val="675434EC"/>
    <w:rsid w:val="6784366C"/>
    <w:rsid w:val="686B3161"/>
    <w:rsid w:val="68AC6908"/>
    <w:rsid w:val="68FA3E94"/>
    <w:rsid w:val="69665A40"/>
    <w:rsid w:val="69B35B28"/>
    <w:rsid w:val="69B83371"/>
    <w:rsid w:val="69E176EA"/>
    <w:rsid w:val="69FD545D"/>
    <w:rsid w:val="6A6005F7"/>
    <w:rsid w:val="6B945E48"/>
    <w:rsid w:val="6BE42630"/>
    <w:rsid w:val="6C7F7133"/>
    <w:rsid w:val="6D6A56E0"/>
    <w:rsid w:val="6F156277"/>
    <w:rsid w:val="70131A31"/>
    <w:rsid w:val="706321FE"/>
    <w:rsid w:val="72954522"/>
    <w:rsid w:val="72BC420F"/>
    <w:rsid w:val="72E325FD"/>
    <w:rsid w:val="73131D48"/>
    <w:rsid w:val="731B19EF"/>
    <w:rsid w:val="74EA0572"/>
    <w:rsid w:val="750A6F03"/>
    <w:rsid w:val="756D2D15"/>
    <w:rsid w:val="77C00B6E"/>
    <w:rsid w:val="781D03F7"/>
    <w:rsid w:val="785810DB"/>
    <w:rsid w:val="785E0E03"/>
    <w:rsid w:val="7873013A"/>
    <w:rsid w:val="78D12489"/>
    <w:rsid w:val="799640FB"/>
    <w:rsid w:val="799B67E4"/>
    <w:rsid w:val="79BE1FF9"/>
    <w:rsid w:val="79F06184"/>
    <w:rsid w:val="7A327603"/>
    <w:rsid w:val="7A997C66"/>
    <w:rsid w:val="7AE86D50"/>
    <w:rsid w:val="7D3058A2"/>
    <w:rsid w:val="7DA40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Arial Unicode MS"/>
      <w:b/>
      <w:kern w:val="0"/>
      <w:sz w:val="36"/>
      <w:szCs w:val="36"/>
      <w:lang w:bidi="bo-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460" w:lineRule="exact"/>
      <w:ind w:firstLine="480" w:firstLineChars="200"/>
    </w:pPr>
    <w:rPr>
      <w:rFonts w:ascii="宋体" w:hAnsi="宋体" w:eastAsia="宋体" w:cs="Times New Roman"/>
      <w:sz w:val="24"/>
    </w:rPr>
  </w:style>
  <w:style w:type="paragraph" w:styleId="6">
    <w:name w:val="envelope return"/>
    <w:basedOn w:val="1"/>
    <w:qFormat/>
    <w:uiPriority w:val="0"/>
    <w:pPr>
      <w:snapToGrid w:val="0"/>
    </w:pPr>
    <w:rPr>
      <w:rFonts w:ascii="Arial" w:hAnsi="Arial" w:eastAsia="宋体" w:cs="Times New Roman"/>
    </w:rPr>
  </w:style>
  <w:style w:type="paragraph" w:styleId="7">
    <w:name w:val="Balloon Text"/>
    <w:basedOn w:val="1"/>
    <w:link w:val="28"/>
    <w:qFormat/>
    <w:uiPriority w:val="0"/>
    <w:rPr>
      <w:sz w:val="18"/>
      <w:szCs w:val="18"/>
    </w:rPr>
  </w:style>
  <w:style w:type="paragraph" w:styleId="8">
    <w:name w:val="footer"/>
    <w:basedOn w:val="1"/>
    <w:link w:val="24"/>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unhideWhenUsed/>
    <w:qFormat/>
    <w:uiPriority w:val="99"/>
    <w:pPr>
      <w:ind w:firstLine="420" w:firstLineChars="100"/>
    </w:pPr>
    <w:rPr>
      <w:rFonts w:ascii="Times New Roman" w:hAnsi="Times New Roman"/>
    </w:rPr>
  </w:style>
  <w:style w:type="paragraph" w:styleId="11">
    <w:name w:val="Body Text First Indent 2"/>
    <w:basedOn w:val="5"/>
    <w:next w:val="1"/>
    <w:qFormat/>
    <w:uiPriority w:val="0"/>
    <w:pPr>
      <w:suppressAutoHyphens/>
      <w:snapToGrid w:val="0"/>
      <w:spacing w:after="120" w:line="360" w:lineRule="auto"/>
      <w:ind w:firstLine="420"/>
    </w:pPr>
    <w:rPr>
      <w:rFonts w:ascii="Times New Roman" w:hAnsi="Times New Roman" w:eastAsia="宋?"/>
      <w:kern w:val="1"/>
      <w:lang w:eastAsia="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Table Paragraph"/>
    <w:basedOn w:val="1"/>
    <w:autoRedefine/>
    <w:qFormat/>
    <w:uiPriority w:val="1"/>
  </w:style>
  <w:style w:type="character" w:customStyle="1" w:styleId="17">
    <w:name w:val="font21"/>
    <w:basedOn w:val="14"/>
    <w:qFormat/>
    <w:uiPriority w:val="0"/>
    <w:rPr>
      <w:rFonts w:hint="eastAsia" w:ascii="宋体" w:hAnsi="宋体" w:eastAsia="宋体" w:cs="宋体"/>
      <w:b/>
      <w:bCs/>
      <w:color w:val="000000"/>
      <w:sz w:val="22"/>
      <w:szCs w:val="22"/>
      <w:u w:val="none"/>
    </w:rPr>
  </w:style>
  <w:style w:type="character" w:customStyle="1" w:styleId="18">
    <w:name w:val="font121"/>
    <w:basedOn w:val="14"/>
    <w:qFormat/>
    <w:uiPriority w:val="0"/>
    <w:rPr>
      <w:rFonts w:hint="eastAsia" w:ascii="宋体" w:hAnsi="宋体" w:eastAsia="宋体" w:cs="宋体"/>
      <w:b/>
      <w:bCs/>
      <w:color w:val="000000"/>
      <w:sz w:val="20"/>
      <w:szCs w:val="20"/>
      <w:u w:val="none"/>
    </w:rPr>
  </w:style>
  <w:style w:type="character" w:customStyle="1" w:styleId="19">
    <w:name w:val="font131"/>
    <w:basedOn w:val="14"/>
    <w:qFormat/>
    <w:uiPriority w:val="0"/>
    <w:rPr>
      <w:rFonts w:hint="eastAsia" w:ascii="宋体" w:hAnsi="宋体" w:eastAsia="宋体" w:cs="宋体"/>
      <w:b/>
      <w:bCs/>
      <w:color w:val="C00000"/>
      <w:sz w:val="20"/>
      <w:szCs w:val="20"/>
      <w:u w:val="none"/>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141"/>
    <w:basedOn w:val="14"/>
    <w:qFormat/>
    <w:uiPriority w:val="0"/>
    <w:rPr>
      <w:rFonts w:hint="eastAsia" w:ascii="宋体" w:hAnsi="宋体" w:eastAsia="宋体" w:cs="宋体"/>
      <w:color w:val="C00000"/>
      <w:sz w:val="22"/>
      <w:szCs w:val="22"/>
      <w:u w:val="none"/>
    </w:rPr>
  </w:style>
  <w:style w:type="paragraph" w:styleId="22">
    <w:name w:val="List Paragraph"/>
    <w:basedOn w:val="1"/>
    <w:qFormat/>
    <w:uiPriority w:val="0"/>
    <w:pPr>
      <w:ind w:firstLine="420" w:firstLineChars="200"/>
    </w:pPr>
    <w:rPr>
      <w:rFonts w:ascii="Times New Roman" w:hAnsi="Times New Roman" w:eastAsia="宋体" w:cs="Times New Roman"/>
    </w:rPr>
  </w:style>
  <w:style w:type="character" w:customStyle="1" w:styleId="23">
    <w:name w:val="页眉 Char"/>
    <w:basedOn w:val="14"/>
    <w:link w:val="9"/>
    <w:qFormat/>
    <w:uiPriority w:val="0"/>
    <w:rPr>
      <w:rFonts w:asciiTheme="minorHAnsi" w:hAnsiTheme="minorHAnsi" w:eastAsiaTheme="minorEastAsia" w:cstheme="minorBidi"/>
      <w:kern w:val="2"/>
      <w:sz w:val="18"/>
      <w:szCs w:val="18"/>
    </w:rPr>
  </w:style>
  <w:style w:type="character" w:customStyle="1" w:styleId="24">
    <w:name w:val="页脚 Char"/>
    <w:basedOn w:val="14"/>
    <w:link w:val="8"/>
    <w:qFormat/>
    <w:uiPriority w:val="0"/>
    <w:rPr>
      <w:rFonts w:asciiTheme="minorHAnsi" w:hAnsiTheme="minorHAnsi" w:eastAsiaTheme="minorEastAsia" w:cstheme="minorBidi"/>
      <w:kern w:val="2"/>
      <w:sz w:val="18"/>
      <w:szCs w:val="18"/>
    </w:rPr>
  </w:style>
  <w:style w:type="paragraph" w:customStyle="1" w:styleId="25">
    <w:name w:val="Table Text"/>
    <w:basedOn w:val="1"/>
    <w:semiHidden/>
    <w:qFormat/>
    <w:uiPriority w:val="0"/>
    <w:rPr>
      <w:rFonts w:ascii="宋体" w:hAnsi="宋体" w:eastAsia="宋体" w:cs="宋体"/>
      <w:szCs w:val="21"/>
      <w:lang w:eastAsia="en-US"/>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框文本 Char"/>
    <w:basedOn w:val="14"/>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1231</Words>
  <Characters>1309</Characters>
  <Lines>13</Lines>
  <Paragraphs>3</Paragraphs>
  <TotalTime>1</TotalTime>
  <ScaleCrop>false</ScaleCrop>
  <LinksUpToDate>false</LinksUpToDate>
  <CharactersWithSpaces>1312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2025-05-28T10:39:00Z</dcterms:created>
  <dc:creator>Administrator</dc:creator>
  <cp:lastModifiedBy>lll</cp:lastModifiedBy>
  <cp:lastPrinted>2024-11-11T07:40:00Z</cp:lastPrinted>
  <dcterms:modified xsi:type="dcterms:W3CDTF">2025-07-11T10:04:08Z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428E57AFA5B54F1087C88033BCCA08C9_12</vt:lpwstr>
  </property>
  <property fmtid="{D5CDD505-2E9C-101B-9397-08002B2CF9AE}" pid="4" name="KSOTemplateDocerSaveRecord">
    <vt:lpwstr>eyJoZGlkIjoiMWI1ZjhhYzZhYzEwMTcwNzg0MzBiM2QwM2ZjYWMwZTkiLCJ1c2VySWQiOiIzMzg4OTA4MTUifQ==</vt:lpwstr>
  </property>
</Properties>
</file>